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481c41238666317d3b7243cf760146a5d06898"/>
    <w:p>
      <w:pPr>
        <w:pStyle w:val="Heading1"/>
      </w:pPr>
      <w:r>
        <w:t xml:space="preserve">🐙 Octopus Australia: Energy Investment Brief (2026)</w:t>
      </w:r>
    </w:p>
    <w:bookmarkStart w:id="20" w:name="overview"/>
    <w:p>
      <w:pPr>
        <w:pStyle w:val="Heading2"/>
      </w:pPr>
      <w:r>
        <w:t xml:space="preserve">1. Overview</w:t>
      </w:r>
    </w:p>
    <w:p>
      <w:pPr>
        <w:pStyle w:val="FirstParagraph"/>
      </w:pPr>
      <w:r>
        <w:t xml:space="preserve">Octopus Australia is a subsidiary of the UK-based</w:t>
      </w:r>
      <w:r>
        <w:t xml:space="preserve"> </w:t>
      </w:r>
      <w:r>
        <w:rPr>
          <w:b/>
          <w:bCs/>
        </w:rPr>
        <w:t xml:space="preserve">Octopus Group</w:t>
      </w:r>
      <w:r>
        <w:t xml:space="preserve">. Led by Managing Director</w:t>
      </w:r>
      <w:r>
        <w:t xml:space="preserve"> </w:t>
      </w:r>
      <w:r>
        <w:rPr>
          <w:b/>
          <w:bCs/>
        </w:rPr>
        <w:t xml:space="preserve">Sam Reynolds</w:t>
      </w:r>
      <w:r>
        <w:t xml:space="preserve">, it has transitioned from a pure investor to a major developer managing a</w:t>
      </w:r>
      <w:r>
        <w:t xml:space="preserve"> </w:t>
      </w:r>
      <w:r>
        <w:rPr>
          <w:b/>
          <w:bCs/>
        </w:rPr>
        <w:t xml:space="preserve">$16 billion pipeline</w:t>
      </w:r>
      <w:r>
        <w:t xml:space="preserve"> </w:t>
      </w:r>
      <w:r>
        <w:t xml:space="preserve">of renewable energy and storage assets.</w:t>
      </w:r>
    </w:p>
    <w:bookmarkEnd w:id="20"/>
    <w:bookmarkStart w:id="22" w:name="financing-structure-the-platform-model"/>
    <w:p>
      <w:pPr>
        <w:pStyle w:val="Heading2"/>
      </w:pPr>
      <w:r>
        <w:t xml:space="preserve">2. Financing Structure:</w:t>
      </w:r>
      <w:r>
        <w:t xml:space="preserve"> </w:t>
      </w:r>
      <w:r>
        <w:t xml:space="preserve">“The Platform Model”</w:t>
      </w:r>
    </w:p>
    <w:p>
      <w:pPr>
        <w:pStyle w:val="FirstParagraph"/>
      </w:pPr>
      <w:r>
        <w:t xml:space="preserve">Octopus uses a</w:t>
      </w:r>
      <w:r>
        <w:t xml:space="preserve"> </w:t>
      </w:r>
      <w:r>
        <w:rPr>
          <w:b/>
          <w:bCs/>
        </w:rPr>
        <w:t xml:space="preserve">Platform-Portfolio</w:t>
      </w:r>
      <w:r>
        <w:t xml:space="preserve"> </w:t>
      </w:r>
      <w:r>
        <w:t xml:space="preserve">approach. Instead of funding projects one by one, they pool capital into a flagship fund (</w:t>
      </w:r>
      <w:r>
        <w:rPr>
          <w:b/>
          <w:bCs/>
        </w:rPr>
        <w:t xml:space="preserve">OASIS</w:t>
      </w:r>
      <w:r>
        <w:t xml:space="preserve">) to build a</w:t>
      </w:r>
      <w:r>
        <w:t xml:space="preserve"> </w:t>
      </w:r>
      <w:r>
        <w:t xml:space="preserve">“stack”</w:t>
      </w:r>
      <w:r>
        <w:t xml:space="preserve"> </w:t>
      </w:r>
      <w:r>
        <w:t xml:space="preserve">of diverse assets. This reduces risk and allows them to secure cheaper</w:t>
      </w:r>
      <w:r>
        <w:t xml:space="preserve"> </w:t>
      </w:r>
      <w:r>
        <w:rPr>
          <w:b/>
          <w:bCs/>
        </w:rPr>
        <w:t xml:space="preserve">portfolio-level debt</w:t>
      </w:r>
      <w:r>
        <w:t xml:space="preserve"> </w:t>
      </w:r>
      <w:r>
        <w:t xml:space="preserve">from major banks.</w:t>
      </w:r>
    </w:p>
    <w:bookmarkStart w:id="21" w:name="major-investors-relative-scale-equity"/>
    <w:p>
      <w:pPr>
        <w:pStyle w:val="Heading3"/>
      </w:pPr>
      <w:r>
        <w:t xml:space="preserve">Major Investors &amp; Relative Scale (Equity)</w:t>
      </w:r>
    </w:p>
    <w:p>
      <w:pPr>
        <w:pStyle w:val="FirstParagraph"/>
      </w:pPr>
      <w:r>
        <w:t xml:space="preserve">The recent $1 billion injection from Dutch giant APG has significantly shifted the scale of the platform.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20"/>
        <w:gridCol w:w="950"/>
        <w:gridCol w:w="1647"/>
        <w:gridCol w:w="380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Investor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Estimated Commitment (AUD)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 / Context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APG Asset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Dutch Pension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$1,000M+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Global</w:t>
            </w:r>
            <w:r>
              <w:t xml:space="preserve"> </w:t>
            </w:r>
            <w:r>
              <w:t xml:space="preserve">“Heavyweight”</w:t>
            </w:r>
            <w:r>
              <w:t xml:space="preserve">; joined in late 2025 to scale the platform.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Hostplus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 Super Fund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$150M - $200M</w:t>
            </w:r>
            <w:r>
              <w:t xml:space="preserve">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Cornerstone investor; participated in multiple funding rounds.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Rest Super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 Super Fund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$100M - $150M</w:t>
            </w:r>
            <w:r>
              <w:t xml:space="preserve">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Major partner with a focus on Gen Z member retirement (Net Zero 2050).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CEFC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 Wealth Fund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$150M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Government</w:t>
            </w:r>
            <w:r>
              <w:t xml:space="preserve"> </w:t>
            </w:r>
            <w:r>
              <w:t xml:space="preserve">“Cornerstone”</w:t>
            </w:r>
            <w:r>
              <w:t xml:space="preserve"> </w:t>
            </w:r>
            <w:r>
              <w:t xml:space="preserve">used to attract private capital.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OREO Fund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Wholesale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$100M+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High-net-worth individuals and family offices ($100k min).</w:t>
            </w:r>
          </w:p>
        </w:tc>
      </w:tr>
    </w:tbl>
    <w:p>
      <w:pPr>
        <w:pStyle w:val="BodyText"/>
      </w:pPr>
      <w:r>
        <w:rPr>
          <w:i/>
          <w:iCs/>
        </w:rPr>
        <w:t xml:space="preserve">*Estimated based on total funding rounds of $250M–$550M where these funds were the primary contributors.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project-status-summary"/>
    <w:p>
      <w:pPr>
        <w:pStyle w:val="Heading2"/>
      </w:pPr>
      <w:r>
        <w:t xml:space="preserve">3. Project Status Summary</w:t>
      </w:r>
    </w:p>
    <w:p>
      <w:pPr>
        <w:pStyle w:val="FirstParagraph"/>
      </w:pPr>
      <w:r>
        <w:t xml:space="preserve">Octopus is aggressively building out storage to</w:t>
      </w:r>
      <w:r>
        <w:t xml:space="preserve"> </w:t>
      </w:r>
      <w:r>
        <w:t xml:space="preserve">“firm”</w:t>
      </w:r>
      <w:r>
        <w:t xml:space="preserve"> </w:t>
      </w:r>
      <w:r>
        <w:t xml:space="preserve">their solar and wind generation.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53"/>
        <w:gridCol w:w="871"/>
        <w:gridCol w:w="1235"/>
        <w:gridCol w:w="435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Project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Technology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 (Feb 2026)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Capacity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Darlington 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Solar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Operating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333 MW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Dulacca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Wind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Operating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180 MW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Coleambally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Operating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 MW / 400 MWh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Fulham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Solar + BESS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Construction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 MW Solar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Blind Creek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Solar + BESS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Construction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$900M project 300 mw ac solar, 250 mw/2 hour battery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Blackstone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Pre-Con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GWh (QLD focus) 500 MW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Hanworth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1200 MW 4.8 GWh (National scale) Bannaby (inland from Wollongong)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fee-structure-governance"/>
    <w:p>
      <w:pPr>
        <w:pStyle w:val="Heading2"/>
      </w:pPr>
      <w:r>
        <w:t xml:space="preserve">4. Fee Structure &amp; Governance</w:t>
      </w:r>
    </w:p>
    <w:p>
      <w:pPr>
        <w:pStyle w:val="FirstParagraph"/>
      </w:pPr>
      <w:r>
        <w:t xml:space="preserve">Octopus Australia is a certified</w:t>
      </w:r>
      <w:r>
        <w:t xml:space="preserve"> </w:t>
      </w:r>
      <w:r>
        <w:rPr>
          <w:b/>
          <w:bCs/>
        </w:rPr>
        <w:t xml:space="preserve">B Corp</w:t>
      </w:r>
      <w:r>
        <w:t xml:space="preserve">, balancing profit with social impact and transparency.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Management Fee:</w:t>
      </w:r>
      <w:r>
        <w:t xml:space="preserve"> </w:t>
      </w:r>
      <w:r>
        <w:rPr>
          <w:b/>
          <w:bCs/>
        </w:rPr>
        <w:t xml:space="preserve">0.95% p.a.</w:t>
      </w:r>
      <w:r>
        <w:t xml:space="preserve"> </w:t>
      </w:r>
      <w:r>
        <w:t xml:space="preserve">of Net Asset Value (NAV).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Performance Fee:</w:t>
      </w:r>
      <w:r>
        <w:t xml:space="preserve"> </w:t>
      </w:r>
      <w:r>
        <w:rPr>
          <w:b/>
          <w:bCs/>
        </w:rPr>
        <w:t xml:space="preserve">20%</w:t>
      </w:r>
      <w:r>
        <w:t xml:space="preserve"> </w:t>
      </w:r>
      <w:r>
        <w:t xml:space="preserve">of profits above a</w:t>
      </w:r>
      <w:r>
        <w:t xml:space="preserve"> </w:t>
      </w:r>
      <w:r>
        <w:rPr>
          <w:b/>
          <w:bCs/>
        </w:rPr>
        <w:t xml:space="preserve">9% Net IRR</w:t>
      </w:r>
      <w:r>
        <w:t xml:space="preserve"> </w:t>
      </w:r>
      <w:r>
        <w:t xml:space="preserve">hurdle.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Target Returns:</w:t>
      </w:r>
      <w:r>
        <w:t xml:space="preserve"> </w:t>
      </w:r>
      <w:r>
        <w:rPr>
          <w:b/>
          <w:bCs/>
        </w:rPr>
        <w:t xml:space="preserve">10–12% p.a.</w:t>
      </w:r>
      <w:r>
        <w:t xml:space="preserve"> </w:t>
      </w:r>
      <w:r>
        <w:t xml:space="preserve">total return for investors.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Technology:</w:t>
      </w:r>
      <w:r>
        <w:t xml:space="preserve"> </w:t>
      </w:r>
      <w:r>
        <w:t xml:space="preserve">All assets are managed via the</w:t>
      </w:r>
      <w:r>
        <w:t xml:space="preserve"> </w:t>
      </w:r>
      <w:r>
        <w:rPr>
          <w:b/>
          <w:bCs/>
        </w:rPr>
        <w:t xml:space="preserve">Kraken AI</w:t>
      </w:r>
      <w:r>
        <w:t xml:space="preserve"> </w:t>
      </w:r>
      <w:r>
        <w:t xml:space="preserve">platform to optimize trading and grid stability.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Document Compiled: February 2026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2026-02-20T01:04:57Z</dcterms:created>
  <dcterms:modified xsi:type="dcterms:W3CDTF">2026-02-20T01:04:57Z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